
<file path=[Content_Types].xml><?xml version="1.0" encoding="utf-8"?>
<Types xmlns="http://schemas.openxmlformats.org/package/2006/content-types">
  <Override PartName="/word/footnotes.xml" ContentType="application/vnd.openxmlformats-officedocument.wordprocessingml.footnotes+xml"/>
  <Default Extension="jpeg" ContentType="image/jpeg"/>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DF2351" w:rsidRDefault="00DF2351">
      <w:pPr>
        <w:numPr>
          <w:ilvl w:val="0"/>
          <w:numId w:val="1"/>
        </w:numPr>
        <w:jc w:val="left"/>
        <w:rPr>
          <w:rFonts w:ascii="宋体" w:hAnsi="宋体" w:cs="宋体" w:hint="eastAsia"/>
          <w:sz w:val="28"/>
          <w:szCs w:val="36"/>
        </w:rPr>
      </w:pPr>
      <w:r>
        <w:rPr>
          <w:rFonts w:ascii="宋体" w:hAnsi="宋体" w:cs="宋体" w:hint="eastAsia"/>
          <w:sz w:val="28"/>
          <w:szCs w:val="36"/>
        </w:rPr>
        <w:t>时评批注模板（手写版）</w:t>
      </w:r>
    </w:p>
    <w:p w:rsidR="00DF2351" w:rsidRDefault="007B5B09">
      <w:pPr>
        <w:jc w:val="left"/>
        <w:rPr>
          <w:rFonts w:ascii="宋体" w:hAnsi="宋体" w:cs="宋体" w:hint="eastAsia"/>
          <w:sz w:val="28"/>
          <w:szCs w:val="36"/>
        </w:rPr>
      </w:pPr>
      <w:r>
        <w:rPr>
          <w:rFonts w:ascii="宋体" w:hAnsi="宋体" w:cs="宋体" w:hint="eastAsia"/>
          <w:noProof/>
          <w:sz w:val="28"/>
          <w:szCs w:val="36"/>
        </w:rPr>
        <w:drawing>
          <wp:inline distT="0" distB="0" distL="0" distR="0">
            <wp:extent cx="5303520" cy="3721100"/>
            <wp:effectExtent l="19050" t="0" r="0" b="0"/>
            <wp:docPr id="1" name="图片 1" descr="时评模板（手写版）"/>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时评模板（手写版）"/>
                    <pic:cNvPicPr>
                      <a:picLocks noChangeAspect="1" noChangeArrowheads="1"/>
                    </pic:cNvPicPr>
                  </pic:nvPicPr>
                  <pic:blipFill>
                    <a:blip r:embed="rId7" cstate="print"/>
                    <a:srcRect/>
                    <a:stretch>
                      <a:fillRect/>
                    </a:stretch>
                  </pic:blipFill>
                  <pic:spPr bwMode="auto">
                    <a:xfrm>
                      <a:off x="0" y="0"/>
                      <a:ext cx="5303520" cy="3721100"/>
                    </a:xfrm>
                    <a:prstGeom prst="rect">
                      <a:avLst/>
                    </a:prstGeom>
                    <a:noFill/>
                    <a:ln w="9525">
                      <a:noFill/>
                      <a:miter lim="800000"/>
                      <a:headEnd/>
                      <a:tailEnd/>
                    </a:ln>
                  </pic:spPr>
                </pic:pic>
              </a:graphicData>
            </a:graphic>
          </wp:inline>
        </w:drawing>
      </w:r>
    </w:p>
    <w:p w:rsidR="00DF2351" w:rsidRDefault="00DF2351">
      <w:pPr>
        <w:jc w:val="left"/>
        <w:rPr>
          <w:rFonts w:ascii="宋体" w:hAnsi="宋体" w:cs="宋体" w:hint="eastAsia"/>
          <w:sz w:val="28"/>
          <w:szCs w:val="36"/>
        </w:rPr>
      </w:pPr>
    </w:p>
    <w:p w:rsidR="00DF2351" w:rsidRDefault="00DF2351">
      <w:pPr>
        <w:jc w:val="left"/>
        <w:rPr>
          <w:rFonts w:ascii="宋体" w:hAnsi="宋体" w:cs="宋体" w:hint="eastAsia"/>
          <w:sz w:val="28"/>
          <w:szCs w:val="36"/>
        </w:rPr>
      </w:pPr>
      <w:r>
        <w:rPr>
          <w:rFonts w:ascii="宋体" w:hAnsi="宋体" w:cs="宋体" w:hint="eastAsia"/>
          <w:sz w:val="28"/>
          <w:szCs w:val="36"/>
        </w:rPr>
        <w:t>2、时评批注模板（电子版）</w:t>
      </w:r>
    </w:p>
    <w:p w:rsidR="00DF2351" w:rsidRDefault="00DF2351">
      <w:pPr>
        <w:jc w:val="center"/>
        <w:rPr>
          <w:rFonts w:ascii="宋体" w:hAnsi="宋体" w:cs="宋体" w:hint="eastAsia"/>
          <w:b/>
          <w:bCs/>
          <w:sz w:val="28"/>
          <w:szCs w:val="36"/>
        </w:rPr>
      </w:pPr>
      <w:r>
        <w:rPr>
          <w:rFonts w:ascii="宋体" w:hAnsi="宋体" w:cs="宋体" w:hint="eastAsia"/>
          <w:b/>
          <w:bCs/>
          <w:sz w:val="28"/>
          <w:szCs w:val="36"/>
        </w:rPr>
        <w:t>于欢案改判：司法与朴素正义观共振</w:t>
      </w:r>
    </w:p>
    <w:p w:rsidR="00DF2351" w:rsidRDefault="00DF2351">
      <w:pPr>
        <w:jc w:val="center"/>
        <w:rPr>
          <w:rFonts w:ascii="宋体" w:hAnsi="宋体" w:cs="宋体" w:hint="eastAsia"/>
        </w:rPr>
      </w:pPr>
      <w:hyperlink r:id="rId8" w:tgtFrame="http://www.bjnews.com.cn/opinion/2017/06/24/_blank" w:history="1">
        <w:r>
          <w:rPr>
            <w:rStyle w:val="a3"/>
            <w:rFonts w:ascii="宋体" w:hAnsi="宋体" w:cs="宋体" w:hint="eastAsia"/>
            <w:color w:val="auto"/>
            <w:u w:val="none"/>
          </w:rPr>
          <w:t>新京报</w:t>
        </w:r>
      </w:hyperlink>
      <w:r>
        <w:rPr>
          <w:rFonts w:ascii="宋体" w:hAnsi="宋体" w:cs="宋体" w:hint="eastAsia"/>
        </w:rPr>
        <w:t>·2017-06-24 02:30:05</w:t>
      </w:r>
    </w:p>
    <w:p w:rsidR="00DF2351" w:rsidRDefault="00DF2351">
      <w:pPr>
        <w:jc w:val="center"/>
        <w:rPr>
          <w:rFonts w:ascii="宋体" w:hAnsi="宋体" w:cs="宋体" w:hint="eastAsia"/>
        </w:rPr>
      </w:pPr>
    </w:p>
    <w:p w:rsidR="00DF2351" w:rsidRDefault="00DF2351">
      <w:pPr>
        <w:ind w:firstLineChars="200" w:firstLine="420"/>
        <w:rPr>
          <w:rFonts w:ascii="宋体" w:hAnsi="宋体" w:cs="宋体" w:hint="eastAsia"/>
        </w:rPr>
      </w:pPr>
      <w:commentRangeStart w:id="0"/>
      <w:r>
        <w:rPr>
          <w:rFonts w:ascii="宋体" w:hAnsi="宋体" w:cs="宋体" w:hint="eastAsia"/>
        </w:rPr>
        <w:t>昨日上午9点，于欢案迎来二审判决。山东高院认定，于欢的行为属于防卫过当，不构成故意杀人罪，不构成自首，原判认定故意伤害罪正确，但量刑过重，判处有期徒刑5年。于欢案的改判不乏启示性：司法裁判不仅要让民众听得懂，更要契合民众的公平正义观，用“看得见的正义”说服他们。</w:t>
      </w:r>
      <w:commentRangeEnd w:id="0"/>
      <w:r>
        <w:commentReference w:id="0"/>
      </w:r>
    </w:p>
    <w:p w:rsidR="00DF2351" w:rsidRDefault="00DF2351">
      <w:pPr>
        <w:rPr>
          <w:rFonts w:ascii="宋体" w:hAnsi="宋体" w:cs="宋体" w:hint="eastAsia"/>
        </w:rPr>
      </w:pPr>
      <w:r>
        <w:rPr>
          <w:rFonts w:ascii="宋体" w:hAnsi="宋体" w:cs="宋体" w:hint="eastAsia"/>
        </w:rPr>
        <w:t xml:space="preserve">　　</w:t>
      </w:r>
      <w:r>
        <w:rPr>
          <w:rFonts w:ascii="宋体" w:hAnsi="宋体" w:cs="宋体" w:hint="eastAsia"/>
          <w:b/>
          <w:bCs/>
        </w:rPr>
        <w:t>■ 社论</w:t>
      </w:r>
    </w:p>
    <w:p w:rsidR="00DF2351" w:rsidRDefault="00DF2351">
      <w:pPr>
        <w:rPr>
          <w:rFonts w:ascii="宋体" w:hAnsi="宋体" w:cs="宋体" w:hint="eastAsia"/>
        </w:rPr>
      </w:pPr>
      <w:r>
        <w:rPr>
          <w:rFonts w:ascii="宋体" w:hAnsi="宋体" w:cs="宋体" w:hint="eastAsia"/>
        </w:rPr>
        <w:t xml:space="preserve">　　于欢案的改判不乏启示性：</w:t>
      </w:r>
      <w:r>
        <w:rPr>
          <w:rFonts w:ascii="宋体" w:hAnsi="宋体" w:cs="宋体" w:hint="eastAsia"/>
          <w:b/>
          <w:bCs/>
          <w:color w:val="C00000"/>
        </w:rPr>
        <w:t>司法裁判不仅要让民众听得懂，更要契合民众的公平正义观，用“看得见的正义”说服他们</w:t>
      </w:r>
      <w:r>
        <w:rPr>
          <w:rFonts w:ascii="宋体" w:hAnsi="宋体" w:cs="宋体" w:hint="eastAsia"/>
        </w:rPr>
        <w:t>。</w:t>
      </w:r>
    </w:p>
    <w:p w:rsidR="00DF2351" w:rsidRDefault="00DF2351">
      <w:pPr>
        <w:rPr>
          <w:rFonts w:ascii="宋体" w:hAnsi="宋体" w:cs="宋体" w:hint="eastAsia"/>
        </w:rPr>
      </w:pPr>
      <w:r>
        <w:rPr>
          <w:rFonts w:ascii="宋体" w:hAnsi="宋体" w:cs="宋体" w:hint="eastAsia"/>
        </w:rPr>
        <w:t xml:space="preserve">　　昨日上午9点，广受关注的于欢案迎来二审判决。山东省高级人民法院认定，于欢的行为属于防卫过当，不构成故意杀人罪，不构成自首，原判认定故意伤害罪正确，但量刑过重，判处有期徒刑5年。</w:t>
      </w:r>
    </w:p>
    <w:p w:rsidR="00DF2351" w:rsidRDefault="00DF2351">
      <w:pPr>
        <w:rPr>
          <w:rFonts w:ascii="宋体" w:hAnsi="宋体" w:cs="宋体" w:hint="eastAsia"/>
        </w:rPr>
      </w:pPr>
      <w:r>
        <w:rPr>
          <w:rFonts w:ascii="宋体" w:hAnsi="宋体" w:cs="宋体" w:hint="eastAsia"/>
        </w:rPr>
        <w:t xml:space="preserve">　　从无期徒刑到5年有期徒刑，该案在万千民众和媒体舆论的高度关注中，经历了有如过山车一般反转的审判过程。对23岁的于欢来说，无论内心曾如何煎熬，无论压力曾如何山大，从昨日法槌郑重落下的那刻起，他得到了原本应属于自己的公平和正义。</w:t>
      </w:r>
    </w:p>
    <w:p w:rsidR="00DF2351" w:rsidRDefault="00DF2351">
      <w:pPr>
        <w:rPr>
          <w:rFonts w:ascii="宋体" w:hAnsi="宋体" w:cs="宋体" w:hint="eastAsia"/>
        </w:rPr>
      </w:pPr>
      <w:r>
        <w:rPr>
          <w:rFonts w:ascii="宋体" w:hAnsi="宋体" w:cs="宋体" w:hint="eastAsia"/>
        </w:rPr>
        <w:t xml:space="preserve">　　</w:t>
      </w:r>
      <w:r>
        <w:rPr>
          <w:rFonts w:ascii="宋体" w:hAnsi="宋体" w:cs="宋体" w:hint="eastAsia"/>
          <w:b/>
          <w:bCs/>
          <w:color w:val="C00000"/>
        </w:rPr>
        <w:t>这个改判的结果，回应着民众的呼声</w:t>
      </w:r>
      <w:r>
        <w:rPr>
          <w:rFonts w:ascii="宋体" w:hAnsi="宋体" w:cs="宋体" w:hint="eastAsia"/>
        </w:rPr>
        <w:t>。</w:t>
      </w:r>
      <w:commentRangeStart w:id="1"/>
      <w:r>
        <w:rPr>
          <w:rFonts w:ascii="宋体" w:hAnsi="宋体" w:cs="宋体" w:hint="eastAsia"/>
        </w:rPr>
        <w:t>今年3月，当那则“刺死辱母者”的报道出现时，在舆论场中激荡起一阵惊涛骇浪。让许多人无法理解的是，以“辱母情节”之卑劣、性</w:t>
      </w:r>
      <w:r>
        <w:rPr>
          <w:rFonts w:ascii="宋体" w:hAnsi="宋体" w:cs="宋体" w:hint="eastAsia"/>
        </w:rPr>
        <w:lastRenderedPageBreak/>
        <w:t>质之恶劣，为人子的于欢“义愤拔刀”，如何不算防卫？即便是超出了必要的范围，也应当是防卫过当，为何以故意伤害罪判重刑？而今，防卫过当的审判认定，实现了一审判决结果的“逆转”，也满足了民众的知情权、参与权和监督权。</w:t>
      </w:r>
      <w:commentRangeEnd w:id="1"/>
      <w:r>
        <w:commentReference w:id="1"/>
      </w:r>
    </w:p>
    <w:p w:rsidR="00DF2351" w:rsidRDefault="00DF2351">
      <w:pPr>
        <w:rPr>
          <w:rFonts w:ascii="宋体" w:hAnsi="宋体" w:cs="宋体" w:hint="eastAsia"/>
        </w:rPr>
      </w:pPr>
      <w:r>
        <w:rPr>
          <w:rFonts w:ascii="宋体" w:hAnsi="宋体" w:cs="宋体" w:hint="eastAsia"/>
        </w:rPr>
        <w:t xml:space="preserve">　　虽然截然不同的判决结果，暴露出一审时起诉书、判决书认定事实、情节不全面，对案件起因、双方矛盾激化过程和讨债人员具体侵害行为有遗漏，防卫性质认定上适用法律确有错误等，</w:t>
      </w:r>
      <w:commentRangeStart w:id="2"/>
      <w:r>
        <w:rPr>
          <w:rFonts w:ascii="宋体" w:hAnsi="宋体" w:cs="宋体" w:hint="eastAsia"/>
        </w:rPr>
        <w:t>但正义的回归过程，何尝不是司法顺应民心、勇纠错误的过程</w:t>
      </w:r>
      <w:commentRangeEnd w:id="2"/>
      <w:r>
        <w:commentReference w:id="2"/>
      </w:r>
      <w:r>
        <w:rPr>
          <w:rFonts w:ascii="宋体" w:hAnsi="宋体" w:cs="宋体" w:hint="eastAsia"/>
        </w:rPr>
        <w:t>？</w:t>
      </w:r>
    </w:p>
    <w:p w:rsidR="00DF2351" w:rsidRDefault="00DF2351">
      <w:pPr>
        <w:rPr>
          <w:rFonts w:ascii="宋体" w:hAnsi="宋体" w:cs="宋体" w:hint="eastAsia"/>
        </w:rPr>
      </w:pPr>
      <w:r>
        <w:rPr>
          <w:rFonts w:ascii="宋体" w:hAnsi="宋体" w:cs="宋体" w:hint="eastAsia"/>
        </w:rPr>
        <w:t xml:space="preserve">　　人非圣贤，孰能无过，在公众舆论的监督下，通过程序纠正错误，司法机关负责的态度，更能重塑形象和威信。</w:t>
      </w:r>
    </w:p>
    <w:p w:rsidR="00DF2351" w:rsidRDefault="00DF2351">
      <w:pPr>
        <w:rPr>
          <w:rFonts w:ascii="宋体" w:hAnsi="宋体" w:cs="宋体" w:hint="eastAsia"/>
        </w:rPr>
      </w:pPr>
      <w:r>
        <w:rPr>
          <w:rFonts w:ascii="宋体" w:hAnsi="宋体" w:cs="宋体" w:hint="eastAsia"/>
        </w:rPr>
        <w:t xml:space="preserve">　　不可否认，随着时代的发展，司法审判愈加呈现专业化的倾向，甚至可以称作是一门精巧的艺术，要求审判者掌握更专业的法律知识和裁判技能。但是，</w:t>
      </w:r>
      <w:commentRangeStart w:id="3"/>
      <w:r>
        <w:rPr>
          <w:rFonts w:ascii="宋体" w:hAnsi="宋体" w:cs="宋体" w:hint="eastAsia"/>
        </w:rPr>
        <w:t>这种专业的精深程度，不应成为排斥民众的“隔离墙”</w:t>
      </w:r>
      <w:commentRangeEnd w:id="3"/>
      <w:r>
        <w:commentReference w:id="3"/>
      </w:r>
      <w:r>
        <w:rPr>
          <w:rFonts w:ascii="宋体" w:hAnsi="宋体" w:cs="宋体" w:hint="eastAsia"/>
        </w:rPr>
        <w:t>。</w:t>
      </w:r>
    </w:p>
    <w:p w:rsidR="00DF2351" w:rsidRDefault="00DF2351">
      <w:pPr>
        <w:rPr>
          <w:rFonts w:ascii="宋体" w:hAnsi="宋体" w:cs="宋体" w:hint="eastAsia"/>
        </w:rPr>
      </w:pPr>
      <w:r>
        <w:rPr>
          <w:rFonts w:ascii="宋体" w:hAnsi="宋体" w:cs="宋体" w:hint="eastAsia"/>
        </w:rPr>
        <w:t xml:space="preserve">　　对于普通大众，可能对审判不那么了解，对法律不那么精通，但他们却拥有</w:t>
      </w:r>
      <w:commentRangeStart w:id="4"/>
      <w:r>
        <w:rPr>
          <w:rFonts w:ascii="宋体" w:hAnsi="宋体" w:cs="宋体" w:hint="eastAsia"/>
          <w:b/>
          <w:bCs/>
        </w:rPr>
        <w:t>朴素而强大的公平正义观</w:t>
      </w:r>
      <w:commentRangeEnd w:id="4"/>
      <w:r>
        <w:commentReference w:id="4"/>
      </w:r>
      <w:r>
        <w:rPr>
          <w:rFonts w:ascii="宋体" w:hAnsi="宋体" w:cs="宋体" w:hint="eastAsia"/>
        </w:rPr>
        <w:t>，对案件结果是否合理、是否公正，也能作出基本的判断。</w:t>
      </w:r>
    </w:p>
    <w:p w:rsidR="00DF2351" w:rsidRDefault="00DF2351">
      <w:pPr>
        <w:rPr>
          <w:rFonts w:ascii="宋体" w:hAnsi="宋体" w:cs="宋体" w:hint="eastAsia"/>
        </w:rPr>
      </w:pPr>
      <w:r>
        <w:rPr>
          <w:rFonts w:ascii="宋体" w:hAnsi="宋体" w:cs="宋体" w:hint="eastAsia"/>
        </w:rPr>
        <w:t xml:space="preserve">　　</w:t>
      </w:r>
      <w:r>
        <w:rPr>
          <w:rFonts w:ascii="宋体" w:hAnsi="宋体" w:cs="宋体" w:hint="eastAsia"/>
          <w:b/>
          <w:bCs/>
          <w:color w:val="C00000"/>
        </w:rPr>
        <w:t>永远不要嘲笑民众的智慧，也不要贬低他们的力量</w:t>
      </w:r>
      <w:r>
        <w:rPr>
          <w:rFonts w:ascii="宋体" w:hAnsi="宋体" w:cs="宋体" w:hint="eastAsia"/>
        </w:rPr>
        <w:t>。回看美国影片《十二怒汉》中，贫民窟中长大的男孩被指控谋杀生父，尽管“铁证如山”，来自各行各业的12个人，最终达成了无罪的一致意见。我国虽未建立陪审团制度，但民众监督的大门敞开着。</w:t>
      </w:r>
    </w:p>
    <w:p w:rsidR="00DF2351" w:rsidRDefault="00DF2351">
      <w:pPr>
        <w:rPr>
          <w:rFonts w:ascii="宋体" w:hAnsi="宋体" w:cs="宋体" w:hint="eastAsia"/>
        </w:rPr>
      </w:pPr>
      <w:r>
        <w:rPr>
          <w:rFonts w:ascii="宋体" w:hAnsi="宋体" w:cs="宋体" w:hint="eastAsia"/>
        </w:rPr>
        <w:t xml:space="preserve">　　</w:t>
      </w:r>
      <w:commentRangeStart w:id="5"/>
      <w:r>
        <w:rPr>
          <w:rFonts w:ascii="宋体" w:hAnsi="宋体" w:cs="宋体" w:hint="eastAsia"/>
        </w:rPr>
        <w:t>所谓司法审判，终究也离不开“人”的操作，很难在任何时候都杜绝人为错误的可能。而民众就是最好的监督者、最好的纠偏器。司法裁判不仅要让民众听得懂，更要契合民众的公平正义观，真正说服他们。如此，司法才有威信，法律才有尊严，法治才能进步。这次于欢案改判，让我们看到了这种进步。</w:t>
      </w:r>
      <w:commentRangeEnd w:id="5"/>
      <w:r>
        <w:commentReference w:id="5"/>
      </w:r>
    </w:p>
    <w:p w:rsidR="00DF2351" w:rsidRDefault="00DF2351">
      <w:pPr>
        <w:ind w:firstLine="420"/>
        <w:rPr>
          <w:rFonts w:ascii="宋体" w:hAnsi="宋体" w:cs="宋体" w:hint="eastAsia"/>
        </w:rPr>
      </w:pPr>
      <w:commentRangeStart w:id="6"/>
      <w:r>
        <w:rPr>
          <w:rFonts w:ascii="宋体" w:hAnsi="宋体" w:cs="宋体" w:hint="eastAsia"/>
          <w:b/>
          <w:bCs/>
        </w:rPr>
        <w:t>正义要以看得见的方式实现。</w:t>
      </w:r>
      <w:commentRangeEnd w:id="6"/>
      <w:r>
        <w:commentReference w:id="6"/>
      </w:r>
      <w:r>
        <w:rPr>
          <w:rFonts w:ascii="宋体" w:hAnsi="宋体" w:cs="宋体" w:hint="eastAsia"/>
        </w:rPr>
        <w:t>于欢案的改判，成了司法与民意良性互动的标本。</w:t>
      </w:r>
      <w:commentRangeStart w:id="7"/>
      <w:r>
        <w:rPr>
          <w:rFonts w:ascii="宋体" w:hAnsi="宋体" w:cs="宋体" w:hint="eastAsia"/>
        </w:rPr>
        <w:t>期待这类互动能嵌入更多争议性案件中，预防某些可能的错判上演。</w:t>
      </w:r>
      <w:commentRangeEnd w:id="7"/>
      <w:r>
        <w:commentReference w:id="7"/>
      </w:r>
    </w:p>
    <w:p w:rsidR="00DF2351" w:rsidRDefault="00DF2351">
      <w:pPr>
        <w:ind w:firstLine="420"/>
        <w:rPr>
          <w:rFonts w:ascii="宋体" w:hAnsi="宋体" w:cs="宋体" w:hint="eastAsia"/>
        </w:rPr>
      </w:pPr>
    </w:p>
    <w:p w:rsidR="00DF2351" w:rsidRDefault="00DF2351">
      <w:pPr>
        <w:jc w:val="right"/>
        <w:rPr>
          <w:rFonts w:ascii="宋体" w:hAnsi="宋体" w:cs="宋体" w:hint="eastAsia"/>
        </w:rPr>
      </w:pPr>
      <w:r>
        <w:rPr>
          <w:rFonts w:ascii="宋体" w:hAnsi="宋体" w:cs="宋体" w:hint="eastAsia"/>
        </w:rPr>
        <w:t>编辑：王晓琳</w:t>
      </w:r>
    </w:p>
    <w:p w:rsidR="00DF2351" w:rsidRPr="0098465F" w:rsidRDefault="00DF2351">
      <w:pPr>
        <w:rPr>
          <w:rFonts w:ascii="楷体" w:eastAsia="楷体" w:hAnsi="楷体" w:cs="宋体" w:hint="eastAsia"/>
          <w:color w:val="C00000"/>
        </w:rPr>
      </w:pPr>
      <w:r>
        <w:rPr>
          <w:rFonts w:ascii="宋体" w:hAnsi="宋体" w:cs="宋体" w:hint="eastAsia"/>
          <w:b/>
          <w:bCs/>
          <w:color w:val="C00000"/>
        </w:rPr>
        <w:t>感想：</w:t>
      </w:r>
      <w:r w:rsidRPr="0098465F">
        <w:rPr>
          <w:rFonts w:ascii="楷体" w:eastAsia="楷体" w:hAnsi="楷体" w:cs="宋体" w:hint="eastAsia"/>
          <w:color w:val="C00000"/>
        </w:rPr>
        <w:t>于欢案改判对我国司法部门在处理司法审判与民众监督关系方面给予了一定的启示，也让更多民众看到了法律对社会公平与正义的维护，这对发展现代公民意识、建设法治社会无疑是有益的。</w:t>
      </w:r>
    </w:p>
    <w:p w:rsidR="00DF2351" w:rsidRPr="0098465F" w:rsidRDefault="00DF2351">
      <w:pPr>
        <w:rPr>
          <w:rFonts w:ascii="楷体" w:eastAsia="楷体" w:hAnsi="楷体" w:cs="宋体" w:hint="eastAsia"/>
          <w:color w:val="C00000"/>
        </w:rPr>
      </w:pPr>
      <w:r>
        <w:rPr>
          <w:rFonts w:ascii="宋体" w:hAnsi="宋体" w:cs="宋体" w:hint="eastAsia"/>
          <w:b/>
          <w:bCs/>
          <w:color w:val="C00000"/>
        </w:rPr>
        <w:t>思考：</w:t>
      </w:r>
      <w:r w:rsidRPr="0098465F">
        <w:rPr>
          <w:rFonts w:ascii="楷体" w:eastAsia="楷体" w:hAnsi="楷体" w:cs="宋体" w:hint="eastAsia"/>
          <w:color w:val="C00000"/>
        </w:rPr>
        <w:t>民众意志是否都是合理公正的？该时评中以《十二怒汉》的例子讲民众监督的可贵，电影《朗读者》则反映了自私片面的评审团使女主人公替他人承担了不属于她的罪行。近来，有广场舞大妈们硬抢篮球场地的新闻曝出，广场舞大妈们硬抢篮球场跳舞，挤走在篮球场的打球青年，二者甚至发生了肢体冲突。还有一则新闻对广场舞大妈群体在高考期间“牺牲自我”暂停广场舞活动而高度赞扬，让人觉得匪夷所思。那么，广场舞大妈们的集体意志对社会公平公正发展是有益的吗？撇开就事论事，任何事物都有其两面性，我们应辩证看待民众意志这个东西，司法审判的民众监督需要设立合理的选拔机制，于欢案改判只是个开始，建立健全民众监督机制，还有很长的路要走。</w:t>
      </w:r>
    </w:p>
    <w:sectPr w:rsidR="00DF2351" w:rsidRPr="0098465F">
      <w:pgSz w:w="11906" w:h="16838"/>
      <w:pgMar w:top="1440" w:right="1800" w:bottom="1440" w:left="1800" w:header="851" w:footer="992" w:gutter="0"/>
      <w:cols w:space="720"/>
      <w:docGrid w:type="lines" w:linePitch="312"/>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0" w:author="yckj" w:date="2017-06-26T15:56:00Z" w:initials="y">
    <w:p w:rsidR="00DF2351" w:rsidRDefault="00DF2351">
      <w:pPr>
        <w:pStyle w:val="a6"/>
        <w:rPr>
          <w:rFonts w:hint="eastAsia"/>
        </w:rPr>
      </w:pPr>
      <w:r>
        <w:rPr>
          <w:rFonts w:hint="eastAsia"/>
        </w:rPr>
        <w:t>此则时评内容的摘要。</w:t>
      </w:r>
    </w:p>
  </w:comment>
  <w:comment w:id="1" w:author="yckj" w:date="2017-06-26T16:02:00Z" w:initials="y">
    <w:p w:rsidR="00DF2351" w:rsidRDefault="00DF2351">
      <w:pPr>
        <w:pStyle w:val="a6"/>
        <w:rPr>
          <w:rFonts w:hint="eastAsia"/>
        </w:rPr>
      </w:pPr>
      <w:r>
        <w:rPr>
          <w:rFonts w:hint="eastAsia"/>
        </w:rPr>
        <w:t>对原判质疑，评价改判结果</w:t>
      </w:r>
    </w:p>
  </w:comment>
  <w:comment w:id="2" w:author="yckj" w:date="2017-06-26T16:04:00Z" w:initials="y">
    <w:p w:rsidR="00DF2351" w:rsidRDefault="00DF2351">
      <w:pPr>
        <w:pStyle w:val="a6"/>
        <w:rPr>
          <w:rFonts w:hint="eastAsia"/>
        </w:rPr>
      </w:pPr>
      <w:r>
        <w:rPr>
          <w:rFonts w:hint="eastAsia"/>
        </w:rPr>
        <w:t>改判这一事件所反映出的实质</w:t>
      </w:r>
    </w:p>
  </w:comment>
  <w:comment w:id="3" w:author="yckj" w:date="2017-06-26T16:06:00Z" w:initials="y">
    <w:p w:rsidR="00DF2351" w:rsidRDefault="00DF2351">
      <w:pPr>
        <w:pStyle w:val="a6"/>
        <w:rPr>
          <w:rFonts w:hint="eastAsia"/>
        </w:rPr>
      </w:pPr>
      <w:r>
        <w:rPr>
          <w:rFonts w:hint="eastAsia"/>
        </w:rPr>
        <w:t>辩证看待司法审判</w:t>
      </w:r>
    </w:p>
  </w:comment>
  <w:comment w:id="4" w:author="yckj" w:date="2017-06-26T16:07:00Z" w:initials="y">
    <w:p w:rsidR="00DF2351" w:rsidRDefault="00DF2351">
      <w:pPr>
        <w:pStyle w:val="a6"/>
        <w:rPr>
          <w:rFonts w:hint="eastAsia"/>
        </w:rPr>
      </w:pPr>
      <w:r>
        <w:rPr>
          <w:rFonts w:hint="eastAsia"/>
        </w:rPr>
        <w:t>这个形容用得好，可积累</w:t>
      </w:r>
    </w:p>
  </w:comment>
  <w:comment w:id="5" w:author="yckj" w:date="2017-06-26T16:08:00Z" w:initials="y">
    <w:p w:rsidR="00DF2351" w:rsidRDefault="00DF2351">
      <w:pPr>
        <w:pStyle w:val="a6"/>
        <w:rPr>
          <w:rFonts w:hint="eastAsia"/>
        </w:rPr>
      </w:pPr>
      <w:r>
        <w:rPr>
          <w:rFonts w:hint="eastAsia"/>
        </w:rPr>
        <w:t>对事件分析进行总结，辩证看待司法审判与民众意志的关系，提出了合理的建设性意见</w:t>
      </w:r>
    </w:p>
  </w:comment>
  <w:comment w:id="6" w:author="yckj" w:date="2017-06-26T16:09:00Z" w:initials="y">
    <w:p w:rsidR="00DF2351" w:rsidRDefault="00DF2351">
      <w:pPr>
        <w:pStyle w:val="a6"/>
        <w:rPr>
          <w:rFonts w:hint="eastAsia"/>
        </w:rPr>
      </w:pPr>
      <w:r>
        <w:rPr>
          <w:rFonts w:hint="eastAsia"/>
        </w:rPr>
        <w:t>观点的凝练，呼应标题和文首</w:t>
      </w:r>
    </w:p>
  </w:comment>
  <w:comment w:id="7" w:author="yckj" w:date="2017-06-26T16:13:00Z" w:initials="y">
    <w:p w:rsidR="00DF2351" w:rsidRDefault="00DF2351">
      <w:pPr>
        <w:pStyle w:val="a6"/>
        <w:rPr>
          <w:rFonts w:hint="eastAsia"/>
        </w:rPr>
      </w:pPr>
      <w:r>
        <w:rPr>
          <w:rFonts w:hint="eastAsia"/>
        </w:rPr>
        <w:t>启示</w:t>
      </w:r>
    </w:p>
  </w:comment>
</w:comment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B503C" w:rsidRDefault="00CB503C" w:rsidP="00F21F4E">
      <w:r>
        <w:separator/>
      </w:r>
    </w:p>
  </w:endnote>
  <w:endnote w:type="continuationSeparator" w:id="1">
    <w:p w:rsidR="00CB503C" w:rsidRDefault="00CB503C" w:rsidP="00F21F4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B503C" w:rsidRDefault="00CB503C" w:rsidP="00F21F4E">
      <w:r>
        <w:separator/>
      </w:r>
    </w:p>
  </w:footnote>
  <w:footnote w:type="continuationSeparator" w:id="1">
    <w:p w:rsidR="00CB503C" w:rsidRDefault="00CB503C" w:rsidP="00F21F4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951C140"/>
    <w:multiLevelType w:val="singleLevel"/>
    <w:tmpl w:val="5951C140"/>
    <w:lvl w:ilvl="0">
      <w:start w:val="1"/>
      <w:numFmt w:val="decimal"/>
      <w:suff w:val="nothing"/>
      <w:lvlText w:val="%1、"/>
      <w:lvlJc w:val="left"/>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stylePaneFormatFilter w:val="3F01"/>
  <w:defaultTabStop w:val="420"/>
  <w:drawingGridVerticalSpacing w:val="156"/>
  <w:noPunctuationKerning/>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doNotExpandShiftReturn/>
    <w:adjustLineHeightInTable/>
    <w:useFELayout/>
  </w:compat>
  <w:rsids>
    <w:rsidRoot w:val="00F21F4E"/>
    <w:rsid w:val="005A4504"/>
    <w:rsid w:val="007B5B09"/>
    <w:rsid w:val="0098465F"/>
    <w:rsid w:val="00CB503C"/>
    <w:rsid w:val="00DF2351"/>
    <w:rsid w:val="00F21F4E"/>
    <w:rsid w:val="285569F4"/>
    <w:rsid w:val="49A54465"/>
    <w:rsid w:val="527901EA"/>
    <w:rsid w:val="62037D71"/>
    <w:rsid w:val="67690E4D"/>
    <w:rsid w:val="676D7853"/>
    <w:rsid w:val="72B2457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Calibri" w:hAnsi="Calibri"/>
      <w:kern w:val="2"/>
      <w:sz w:val="21"/>
      <w:szCs w:val="24"/>
    </w:rPr>
  </w:style>
  <w:style w:type="paragraph" w:styleId="1">
    <w:name w:val="heading 1"/>
    <w:basedOn w:val="a"/>
    <w:next w:val="a"/>
    <w:qFormat/>
    <w:pPr>
      <w:spacing w:before="100" w:beforeAutospacing="1" w:after="100" w:afterAutospacing="1"/>
      <w:jc w:val="left"/>
      <w:outlineLvl w:val="0"/>
    </w:pPr>
    <w:rPr>
      <w:rFonts w:ascii="宋体" w:hAnsi="宋体" w:hint="eastAsia"/>
      <w:b/>
      <w:kern w:val="44"/>
      <w:sz w:val="48"/>
      <w:szCs w:val="48"/>
    </w:rPr>
  </w:style>
  <w:style w:type="character" w:default="1" w:styleId="a0">
    <w:name w:val="Default Paragraph Font"/>
    <w:semiHidden/>
  </w:style>
  <w:style w:type="table" w:default="1" w:styleId="a1">
    <w:name w:val="Normal Table"/>
    <w:semiHidden/>
    <w:tblPr>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Pr>
      <w:color w:val="0000FF"/>
      <w:u w:val="single"/>
    </w:rPr>
  </w:style>
  <w:style w:type="character" w:styleId="a4">
    <w:name w:val="Strong"/>
    <w:basedOn w:val="a0"/>
    <w:qFormat/>
    <w:rPr>
      <w:b/>
    </w:rPr>
  </w:style>
  <w:style w:type="paragraph" w:styleId="a5">
    <w:name w:val="Normal (Web)"/>
    <w:basedOn w:val="a"/>
    <w:pPr>
      <w:spacing w:before="100" w:beforeAutospacing="1" w:after="100" w:afterAutospacing="1"/>
      <w:jc w:val="left"/>
    </w:pPr>
    <w:rPr>
      <w:kern w:val="0"/>
      <w:sz w:val="24"/>
    </w:rPr>
  </w:style>
  <w:style w:type="paragraph" w:styleId="a6">
    <w:name w:val="annotation text"/>
    <w:basedOn w:val="a"/>
    <w:pPr>
      <w:jc w:val="left"/>
    </w:pPr>
  </w:style>
  <w:style w:type="paragraph" w:styleId="a7">
    <w:name w:val="Balloon Text"/>
    <w:basedOn w:val="a"/>
    <w:link w:val="Char"/>
    <w:rsid w:val="00F21F4E"/>
    <w:rPr>
      <w:sz w:val="18"/>
      <w:szCs w:val="18"/>
    </w:rPr>
  </w:style>
  <w:style w:type="character" w:customStyle="1" w:styleId="Char">
    <w:name w:val="批注框文本 Char"/>
    <w:basedOn w:val="a0"/>
    <w:link w:val="a7"/>
    <w:rsid w:val="00F21F4E"/>
    <w:rPr>
      <w:rFonts w:ascii="Calibri" w:hAnsi="Calibri"/>
      <w:kern w:val="2"/>
      <w:sz w:val="18"/>
      <w:szCs w:val="18"/>
    </w:rPr>
  </w:style>
  <w:style w:type="paragraph" w:styleId="a8">
    <w:name w:val="header"/>
    <w:basedOn w:val="a"/>
    <w:link w:val="Char0"/>
    <w:rsid w:val="00F21F4E"/>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8"/>
    <w:rsid w:val="00F21F4E"/>
    <w:rPr>
      <w:rFonts w:ascii="Calibri" w:hAnsi="Calibri"/>
      <w:kern w:val="2"/>
      <w:sz w:val="18"/>
      <w:szCs w:val="18"/>
    </w:rPr>
  </w:style>
  <w:style w:type="paragraph" w:styleId="a9">
    <w:name w:val="footer"/>
    <w:basedOn w:val="a"/>
    <w:link w:val="Char1"/>
    <w:rsid w:val="00F21F4E"/>
    <w:pPr>
      <w:tabs>
        <w:tab w:val="center" w:pos="4153"/>
        <w:tab w:val="right" w:pos="8306"/>
      </w:tabs>
      <w:snapToGrid w:val="0"/>
      <w:jc w:val="left"/>
    </w:pPr>
    <w:rPr>
      <w:sz w:val="18"/>
      <w:szCs w:val="18"/>
    </w:rPr>
  </w:style>
  <w:style w:type="character" w:customStyle="1" w:styleId="Char1">
    <w:name w:val="页脚 Char"/>
    <w:basedOn w:val="a0"/>
    <w:link w:val="a9"/>
    <w:rsid w:val="00F21F4E"/>
    <w:rPr>
      <w:rFonts w:ascii="Calibri" w:hAnsi="Calibri"/>
      <w:kern w:val="2"/>
      <w:sz w:val="18"/>
      <w:szCs w:val="18"/>
    </w:rPr>
  </w:style>
</w:styles>
</file>

<file path=word/webSettings.xml><?xml version="1.0" encoding="utf-8"?>
<w:webSettings xmlns:r="http://schemas.openxmlformats.org/officeDocument/2006/relationships" xmlns:w="http://schemas.openxmlformats.org/wordprocessingml/2006/main">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bjnews.com.cn/opinion/2017/06/24/447916.html" TargetMode="Externa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omments" Target="comment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274</Words>
  <Characters>1567</Characters>
  <Application>Microsoft Office Word</Application>
  <DocSecurity>0</DocSecurity>
  <PresentationFormat/>
  <Lines>13</Lines>
  <Paragraphs>3</Paragraphs>
  <Slides>0</Slides>
  <Notes>0</Notes>
  <HiddenSlides>0</HiddenSlides>
  <MMClips>0</MMClips>
  <ScaleCrop>false</ScaleCrop>
  <Company>Microsoft</Company>
  <LinksUpToDate>false</LinksUpToDate>
  <CharactersWithSpaces>1838</CharactersWithSpaces>
  <SharedDoc>false</SharedDoc>
  <HLinks>
    <vt:vector size="6" baseType="variant">
      <vt:variant>
        <vt:i4>6881396</vt:i4>
      </vt:variant>
      <vt:variant>
        <vt:i4>0</vt:i4>
      </vt:variant>
      <vt:variant>
        <vt:i4>0</vt:i4>
      </vt:variant>
      <vt:variant>
        <vt:i4>5</vt:i4>
      </vt:variant>
      <vt:variant>
        <vt:lpwstr>http://www.bjnews.com.cn/opinion/2017/06/24/447916.html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yckj</dc:creator>
  <cp:lastModifiedBy>yckj</cp:lastModifiedBy>
  <cp:revision>2</cp:revision>
  <dcterms:created xsi:type="dcterms:W3CDTF">2018-07-06T08:10:00Z</dcterms:created>
  <dcterms:modified xsi:type="dcterms:W3CDTF">2018-07-06T08:10:00Z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2052-10.8.0.5562</vt:lpwstr>
  </property>
</Properties>
</file>